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B1A" w:rsidRDefault="0015363A" w:rsidP="00287B1A">
      <w:pPr>
        <w:spacing w:after="0" w:line="240" w:lineRule="auto"/>
        <w:jc w:val="center"/>
        <w:rPr>
          <w:rFonts w:ascii="Arial" w:hAnsi="Arial" w:cs="Arial"/>
          <w:b/>
        </w:rPr>
      </w:pPr>
      <w:r>
        <w:rPr>
          <w:rFonts w:ascii="Arial" w:hAnsi="Arial" w:cs="Arial"/>
          <w:b/>
        </w:rPr>
        <w:t>Dianne Kelly, MS, LPC</w:t>
      </w:r>
      <w:r w:rsidR="001C7EDA">
        <w:rPr>
          <w:rFonts w:ascii="Arial" w:hAnsi="Arial" w:cs="Arial"/>
          <w:b/>
        </w:rPr>
        <w:t xml:space="preserve"> </w:t>
      </w:r>
    </w:p>
    <w:p w:rsidR="0015363A" w:rsidRPr="00287B1A" w:rsidRDefault="0015363A" w:rsidP="00287B1A">
      <w:pPr>
        <w:spacing w:after="0" w:line="240" w:lineRule="auto"/>
        <w:jc w:val="center"/>
        <w:rPr>
          <w:rFonts w:ascii="Arial" w:hAnsi="Arial" w:cs="Arial"/>
          <w:b/>
        </w:rPr>
      </w:pPr>
      <w:hyperlink r:id="rId6" w:history="1">
        <w:r w:rsidRPr="00F2526D">
          <w:rPr>
            <w:rStyle w:val="Hyperlink"/>
            <w:rFonts w:ascii="Arial" w:hAnsi="Arial" w:cs="Arial"/>
          </w:rPr>
          <w:t>diannekelly@touchstonepracticegroup.com</w:t>
        </w:r>
      </w:hyperlink>
      <w:r>
        <w:rPr>
          <w:rFonts w:ascii="Arial" w:hAnsi="Arial" w:cs="Arial"/>
          <w:b/>
        </w:rPr>
        <w:t xml:space="preserve"> </w:t>
      </w:r>
    </w:p>
    <w:p w:rsidR="0015363A" w:rsidRDefault="0015363A" w:rsidP="00287B1A">
      <w:pPr>
        <w:spacing w:after="0" w:line="240" w:lineRule="auto"/>
        <w:jc w:val="center"/>
        <w:rPr>
          <w:rFonts w:ascii="Arial" w:hAnsi="Arial" w:cs="Arial"/>
          <w:b/>
        </w:rPr>
      </w:pPr>
    </w:p>
    <w:p w:rsidR="00287B1A" w:rsidRPr="00287B1A" w:rsidRDefault="00287B1A" w:rsidP="00287B1A">
      <w:pPr>
        <w:spacing w:after="0" w:line="240" w:lineRule="auto"/>
        <w:jc w:val="center"/>
        <w:rPr>
          <w:rFonts w:ascii="Arial" w:hAnsi="Arial" w:cs="Arial"/>
          <w:b/>
        </w:rPr>
      </w:pPr>
      <w:r w:rsidRPr="00287B1A">
        <w:rPr>
          <w:rFonts w:ascii="Arial" w:hAnsi="Arial" w:cs="Arial"/>
          <w:b/>
        </w:rPr>
        <w:t>FEE SCHEDULE AGREEMENT</w:t>
      </w:r>
    </w:p>
    <w:p w:rsidR="00287B1A" w:rsidRPr="00934372" w:rsidRDefault="00287B1A" w:rsidP="00287B1A">
      <w:pPr>
        <w:rPr>
          <w:rFonts w:ascii="Arial" w:hAnsi="Arial" w:cs="Arial"/>
          <w:sz w:val="20"/>
        </w:rPr>
      </w:pPr>
    </w:p>
    <w:p w:rsidR="00287B1A" w:rsidRPr="00934372" w:rsidRDefault="00287B1A" w:rsidP="00287B1A">
      <w:pPr>
        <w:rPr>
          <w:rFonts w:ascii="Arial" w:hAnsi="Arial" w:cs="Arial"/>
          <w:sz w:val="20"/>
        </w:rPr>
      </w:pPr>
      <w:r w:rsidRPr="00934372">
        <w:rPr>
          <w:rFonts w:ascii="Arial" w:hAnsi="Arial" w:cs="Arial"/>
          <w:sz w:val="20"/>
        </w:rPr>
        <w:t>The following fee</w:t>
      </w:r>
      <w:r w:rsidR="00B725B7" w:rsidRPr="00934372">
        <w:rPr>
          <w:rFonts w:ascii="Arial" w:hAnsi="Arial" w:cs="Arial"/>
          <w:sz w:val="20"/>
        </w:rPr>
        <w:t xml:space="preserve"> for services </w:t>
      </w:r>
      <w:r w:rsidRPr="00934372">
        <w:rPr>
          <w:rFonts w:ascii="Arial" w:hAnsi="Arial" w:cs="Arial"/>
          <w:sz w:val="20"/>
        </w:rPr>
        <w:t xml:space="preserve">applies </w:t>
      </w:r>
      <w:r w:rsidR="00934372">
        <w:rPr>
          <w:rFonts w:ascii="Arial" w:hAnsi="Arial" w:cs="Arial"/>
          <w:sz w:val="20"/>
        </w:rPr>
        <w:t xml:space="preserve">as of </w:t>
      </w:r>
      <w:r w:rsidR="0015363A">
        <w:rPr>
          <w:rFonts w:ascii="Arial" w:hAnsi="Arial" w:cs="Arial"/>
          <w:sz w:val="20"/>
        </w:rPr>
        <w:t>April</w:t>
      </w:r>
      <w:r w:rsidR="00934372">
        <w:rPr>
          <w:rFonts w:ascii="Arial" w:hAnsi="Arial" w:cs="Arial"/>
          <w:sz w:val="20"/>
        </w:rPr>
        <w:t xml:space="preserve"> 1, 201</w:t>
      </w:r>
      <w:r w:rsidR="0015363A">
        <w:rPr>
          <w:rFonts w:ascii="Arial" w:hAnsi="Arial" w:cs="Arial"/>
          <w:sz w:val="20"/>
        </w:rPr>
        <w:t>7</w:t>
      </w:r>
      <w:r w:rsidRPr="00934372">
        <w:rPr>
          <w:rFonts w:ascii="Arial" w:hAnsi="Arial" w:cs="Arial"/>
          <w:sz w:val="20"/>
        </w:rPr>
        <w:t>.</w:t>
      </w:r>
    </w:p>
    <w:tbl>
      <w:tblPr>
        <w:tblStyle w:val="TableGrid"/>
        <w:tblW w:w="0" w:type="auto"/>
        <w:tblLook w:val="04A0" w:firstRow="1" w:lastRow="0" w:firstColumn="1" w:lastColumn="0" w:noHBand="0" w:noVBand="1"/>
      </w:tblPr>
      <w:tblGrid>
        <w:gridCol w:w="4675"/>
        <w:gridCol w:w="4675"/>
      </w:tblGrid>
      <w:tr w:rsidR="00F06A81" w:rsidRPr="00934372" w:rsidTr="00F06A81">
        <w:tc>
          <w:tcPr>
            <w:tcW w:w="4675" w:type="dxa"/>
          </w:tcPr>
          <w:p w:rsidR="00F06A81" w:rsidRPr="00934372" w:rsidRDefault="00F06A81" w:rsidP="00287B1A">
            <w:pPr>
              <w:rPr>
                <w:rFonts w:ascii="Arial" w:hAnsi="Arial" w:cs="Arial"/>
                <w:b/>
                <w:sz w:val="20"/>
              </w:rPr>
            </w:pPr>
            <w:r w:rsidRPr="00934372">
              <w:rPr>
                <w:rFonts w:ascii="Arial" w:hAnsi="Arial" w:cs="Arial"/>
                <w:b/>
                <w:sz w:val="20"/>
              </w:rPr>
              <w:t>Service</w:t>
            </w:r>
          </w:p>
        </w:tc>
        <w:tc>
          <w:tcPr>
            <w:tcW w:w="4675" w:type="dxa"/>
          </w:tcPr>
          <w:p w:rsidR="00F06A81" w:rsidRPr="00934372" w:rsidRDefault="00F06A81" w:rsidP="00287B1A">
            <w:pPr>
              <w:rPr>
                <w:rFonts w:ascii="Arial" w:hAnsi="Arial" w:cs="Arial"/>
                <w:b/>
                <w:sz w:val="20"/>
              </w:rPr>
            </w:pPr>
            <w:r w:rsidRPr="00934372">
              <w:rPr>
                <w:rFonts w:ascii="Arial" w:hAnsi="Arial" w:cs="Arial"/>
                <w:b/>
                <w:sz w:val="20"/>
              </w:rPr>
              <w:t>Fee</w:t>
            </w:r>
          </w:p>
        </w:tc>
      </w:tr>
      <w:tr w:rsidR="00F06A81" w:rsidRPr="00934372" w:rsidTr="00F06A81">
        <w:tc>
          <w:tcPr>
            <w:tcW w:w="4675" w:type="dxa"/>
          </w:tcPr>
          <w:p w:rsidR="00F06A81" w:rsidRPr="00934372" w:rsidRDefault="00F06A81" w:rsidP="00287B1A">
            <w:pPr>
              <w:rPr>
                <w:rFonts w:ascii="Arial" w:hAnsi="Arial" w:cs="Arial"/>
                <w:sz w:val="20"/>
              </w:rPr>
            </w:pPr>
            <w:r w:rsidRPr="00934372">
              <w:rPr>
                <w:rFonts w:ascii="Arial" w:hAnsi="Arial" w:cs="Arial"/>
                <w:sz w:val="20"/>
              </w:rPr>
              <w:t>Application</w:t>
            </w:r>
            <w:r w:rsidR="003A7AC9">
              <w:rPr>
                <w:rFonts w:ascii="Arial" w:hAnsi="Arial" w:cs="Arial"/>
                <w:sz w:val="20"/>
              </w:rPr>
              <w:t xml:space="preserve"> / Initial Phone Consultation</w:t>
            </w:r>
          </w:p>
        </w:tc>
        <w:tc>
          <w:tcPr>
            <w:tcW w:w="4675" w:type="dxa"/>
          </w:tcPr>
          <w:p w:rsidR="00F06A81" w:rsidRPr="00934372" w:rsidRDefault="0015363A" w:rsidP="00287B1A">
            <w:pPr>
              <w:rPr>
                <w:rFonts w:ascii="Arial" w:hAnsi="Arial" w:cs="Arial"/>
                <w:sz w:val="20"/>
              </w:rPr>
            </w:pPr>
            <w:r>
              <w:rPr>
                <w:rFonts w:ascii="Arial" w:hAnsi="Arial" w:cs="Arial"/>
                <w:sz w:val="20"/>
              </w:rPr>
              <w:t>$0</w:t>
            </w:r>
          </w:p>
        </w:tc>
        <w:bookmarkStart w:id="0" w:name="_GoBack"/>
        <w:bookmarkEnd w:id="0"/>
      </w:tr>
      <w:tr w:rsidR="00F06A81" w:rsidRPr="00934372" w:rsidTr="00F06A81">
        <w:tc>
          <w:tcPr>
            <w:tcW w:w="4675" w:type="dxa"/>
          </w:tcPr>
          <w:p w:rsidR="00F06A81" w:rsidRPr="00934372" w:rsidRDefault="00F06A81" w:rsidP="00287B1A">
            <w:pPr>
              <w:rPr>
                <w:rFonts w:ascii="Arial" w:hAnsi="Arial" w:cs="Arial"/>
                <w:sz w:val="20"/>
              </w:rPr>
            </w:pPr>
            <w:r w:rsidRPr="00934372">
              <w:rPr>
                <w:rFonts w:ascii="Arial" w:hAnsi="Arial" w:cs="Arial"/>
                <w:sz w:val="20"/>
              </w:rPr>
              <w:t>Domestic Home Study</w:t>
            </w:r>
            <w:r w:rsidR="0065780F" w:rsidRPr="00934372">
              <w:rPr>
                <w:rFonts w:ascii="Arial" w:hAnsi="Arial" w:cs="Arial"/>
                <w:sz w:val="20"/>
              </w:rPr>
              <w:t xml:space="preserve"> (Narrative Report)</w:t>
            </w:r>
          </w:p>
        </w:tc>
        <w:tc>
          <w:tcPr>
            <w:tcW w:w="4675" w:type="dxa"/>
          </w:tcPr>
          <w:p w:rsidR="00F06A81" w:rsidRPr="00934372" w:rsidRDefault="00F06A81" w:rsidP="00287B1A">
            <w:pPr>
              <w:rPr>
                <w:rFonts w:ascii="Arial" w:hAnsi="Arial" w:cs="Arial"/>
                <w:sz w:val="20"/>
              </w:rPr>
            </w:pPr>
            <w:r w:rsidRPr="00934372">
              <w:rPr>
                <w:rFonts w:ascii="Arial" w:hAnsi="Arial" w:cs="Arial"/>
                <w:sz w:val="20"/>
              </w:rPr>
              <w:t>$1500</w:t>
            </w:r>
          </w:p>
        </w:tc>
      </w:tr>
      <w:tr w:rsidR="0065780F" w:rsidRPr="00934372" w:rsidTr="00F06A81">
        <w:tc>
          <w:tcPr>
            <w:tcW w:w="4675" w:type="dxa"/>
          </w:tcPr>
          <w:p w:rsidR="0065780F" w:rsidRPr="00934372" w:rsidRDefault="0065780F" w:rsidP="00287B1A">
            <w:pPr>
              <w:rPr>
                <w:rFonts w:ascii="Arial" w:hAnsi="Arial" w:cs="Arial"/>
                <w:sz w:val="20"/>
              </w:rPr>
            </w:pPr>
            <w:r w:rsidRPr="00934372">
              <w:rPr>
                <w:rFonts w:ascii="Arial" w:hAnsi="Arial" w:cs="Arial"/>
                <w:sz w:val="20"/>
              </w:rPr>
              <w:t xml:space="preserve">Expedited Home Study (Completed within </w:t>
            </w:r>
            <w:r w:rsidR="003A7AC9">
              <w:rPr>
                <w:rFonts w:ascii="Arial" w:hAnsi="Arial" w:cs="Arial"/>
                <w:sz w:val="20"/>
              </w:rPr>
              <w:t xml:space="preserve">21 </w:t>
            </w:r>
            <w:r w:rsidRPr="00934372">
              <w:rPr>
                <w:rFonts w:ascii="Arial" w:hAnsi="Arial" w:cs="Arial"/>
                <w:sz w:val="20"/>
              </w:rPr>
              <w:t>calendar days)</w:t>
            </w:r>
          </w:p>
        </w:tc>
        <w:tc>
          <w:tcPr>
            <w:tcW w:w="4675" w:type="dxa"/>
          </w:tcPr>
          <w:p w:rsidR="0065780F" w:rsidRPr="00934372" w:rsidRDefault="0065780F" w:rsidP="0065780F">
            <w:pPr>
              <w:rPr>
                <w:rFonts w:ascii="Arial" w:hAnsi="Arial" w:cs="Arial"/>
                <w:sz w:val="20"/>
              </w:rPr>
            </w:pPr>
            <w:r w:rsidRPr="00934372">
              <w:rPr>
                <w:rFonts w:ascii="Arial" w:hAnsi="Arial" w:cs="Arial"/>
                <w:sz w:val="20"/>
              </w:rPr>
              <w:t>$2100</w:t>
            </w:r>
          </w:p>
        </w:tc>
      </w:tr>
      <w:tr w:rsidR="0065780F" w:rsidRPr="00934372" w:rsidTr="00F06A81">
        <w:tc>
          <w:tcPr>
            <w:tcW w:w="4675" w:type="dxa"/>
          </w:tcPr>
          <w:p w:rsidR="0065780F" w:rsidRPr="00934372" w:rsidRDefault="0065780F" w:rsidP="00287B1A">
            <w:pPr>
              <w:rPr>
                <w:rFonts w:ascii="Arial" w:hAnsi="Arial" w:cs="Arial"/>
                <w:sz w:val="20"/>
              </w:rPr>
            </w:pPr>
            <w:r w:rsidRPr="00934372">
              <w:rPr>
                <w:rFonts w:ascii="Arial" w:hAnsi="Arial" w:cs="Arial"/>
                <w:sz w:val="20"/>
              </w:rPr>
              <w:t>Home Study Update</w:t>
            </w:r>
          </w:p>
        </w:tc>
        <w:tc>
          <w:tcPr>
            <w:tcW w:w="4675" w:type="dxa"/>
          </w:tcPr>
          <w:p w:rsidR="0065780F" w:rsidRPr="00934372" w:rsidRDefault="0065780F" w:rsidP="0065780F">
            <w:pPr>
              <w:rPr>
                <w:rFonts w:ascii="Arial" w:hAnsi="Arial" w:cs="Arial"/>
                <w:sz w:val="20"/>
              </w:rPr>
            </w:pPr>
            <w:r w:rsidRPr="00934372">
              <w:rPr>
                <w:rFonts w:ascii="Arial" w:hAnsi="Arial" w:cs="Arial"/>
                <w:sz w:val="20"/>
              </w:rPr>
              <w:t>$700</w:t>
            </w:r>
          </w:p>
        </w:tc>
      </w:tr>
      <w:tr w:rsidR="0065780F" w:rsidRPr="00934372" w:rsidTr="00F06A81">
        <w:tc>
          <w:tcPr>
            <w:tcW w:w="4675" w:type="dxa"/>
          </w:tcPr>
          <w:p w:rsidR="0065780F" w:rsidRPr="00934372" w:rsidRDefault="0065780F" w:rsidP="00287B1A">
            <w:pPr>
              <w:rPr>
                <w:rFonts w:ascii="Arial" w:hAnsi="Arial" w:cs="Arial"/>
                <w:sz w:val="20"/>
              </w:rPr>
            </w:pPr>
            <w:r w:rsidRPr="00934372">
              <w:rPr>
                <w:rFonts w:ascii="Arial" w:hAnsi="Arial" w:cs="Arial"/>
                <w:sz w:val="20"/>
              </w:rPr>
              <w:t>Home Study Addendum/Amendment</w:t>
            </w:r>
          </w:p>
        </w:tc>
        <w:tc>
          <w:tcPr>
            <w:tcW w:w="4675" w:type="dxa"/>
          </w:tcPr>
          <w:p w:rsidR="0065780F" w:rsidRPr="00934372" w:rsidRDefault="0065780F" w:rsidP="0065780F">
            <w:pPr>
              <w:rPr>
                <w:rFonts w:ascii="Arial" w:hAnsi="Arial" w:cs="Arial"/>
                <w:sz w:val="20"/>
              </w:rPr>
            </w:pPr>
            <w:r w:rsidRPr="00934372">
              <w:rPr>
                <w:rFonts w:ascii="Arial" w:hAnsi="Arial" w:cs="Arial"/>
                <w:sz w:val="20"/>
              </w:rPr>
              <w:t>$100</w:t>
            </w:r>
          </w:p>
        </w:tc>
      </w:tr>
      <w:tr w:rsidR="001A0D9B" w:rsidRPr="00934372" w:rsidTr="00F06A81">
        <w:tc>
          <w:tcPr>
            <w:tcW w:w="4675" w:type="dxa"/>
          </w:tcPr>
          <w:p w:rsidR="001A0D9B" w:rsidRPr="00934372" w:rsidRDefault="001A0D9B" w:rsidP="00287B1A">
            <w:pPr>
              <w:rPr>
                <w:rFonts w:ascii="Arial" w:hAnsi="Arial" w:cs="Arial"/>
                <w:sz w:val="20"/>
              </w:rPr>
            </w:pPr>
            <w:r w:rsidRPr="00934372">
              <w:rPr>
                <w:rFonts w:ascii="Arial" w:hAnsi="Arial" w:cs="Arial"/>
                <w:sz w:val="20"/>
              </w:rPr>
              <w:t>Domestic Adoption Court Report</w:t>
            </w:r>
          </w:p>
        </w:tc>
        <w:tc>
          <w:tcPr>
            <w:tcW w:w="4675" w:type="dxa"/>
          </w:tcPr>
          <w:p w:rsidR="001A0D9B" w:rsidRPr="00934372" w:rsidRDefault="001A0D9B" w:rsidP="0065780F">
            <w:pPr>
              <w:rPr>
                <w:rFonts w:ascii="Arial" w:hAnsi="Arial" w:cs="Arial"/>
                <w:sz w:val="20"/>
              </w:rPr>
            </w:pPr>
            <w:r w:rsidRPr="00934372">
              <w:rPr>
                <w:rFonts w:ascii="Arial" w:hAnsi="Arial" w:cs="Arial"/>
                <w:sz w:val="20"/>
              </w:rPr>
              <w:t>$</w:t>
            </w:r>
            <w:r w:rsidR="0015363A">
              <w:rPr>
                <w:rFonts w:ascii="Arial" w:hAnsi="Arial" w:cs="Arial"/>
                <w:sz w:val="20"/>
              </w:rPr>
              <w:t>5</w:t>
            </w:r>
            <w:r w:rsidRPr="00934372">
              <w:rPr>
                <w:rFonts w:ascii="Arial" w:hAnsi="Arial" w:cs="Arial"/>
                <w:sz w:val="20"/>
              </w:rPr>
              <w:t>00</w:t>
            </w:r>
          </w:p>
        </w:tc>
      </w:tr>
      <w:tr w:rsidR="0065780F" w:rsidRPr="00934372" w:rsidTr="00F06A81">
        <w:tc>
          <w:tcPr>
            <w:tcW w:w="4675" w:type="dxa"/>
          </w:tcPr>
          <w:p w:rsidR="0065780F" w:rsidRPr="00934372" w:rsidRDefault="0065780F" w:rsidP="0065780F">
            <w:pPr>
              <w:tabs>
                <w:tab w:val="left" w:pos="1920"/>
                <w:tab w:val="center" w:pos="2229"/>
              </w:tabs>
              <w:rPr>
                <w:rFonts w:ascii="Arial" w:hAnsi="Arial" w:cs="Arial"/>
                <w:sz w:val="20"/>
              </w:rPr>
            </w:pPr>
            <w:r w:rsidRPr="00934372">
              <w:rPr>
                <w:rFonts w:ascii="Arial" w:hAnsi="Arial" w:cs="Arial"/>
                <w:sz w:val="20"/>
              </w:rPr>
              <w:t>Additional Copies of the Home Study</w:t>
            </w:r>
          </w:p>
        </w:tc>
        <w:tc>
          <w:tcPr>
            <w:tcW w:w="4675" w:type="dxa"/>
          </w:tcPr>
          <w:p w:rsidR="0065780F" w:rsidRPr="00934372" w:rsidRDefault="0065780F" w:rsidP="00287B1A">
            <w:pPr>
              <w:rPr>
                <w:rFonts w:ascii="Arial" w:hAnsi="Arial" w:cs="Arial"/>
                <w:sz w:val="20"/>
              </w:rPr>
            </w:pPr>
            <w:r w:rsidRPr="00934372">
              <w:rPr>
                <w:rFonts w:ascii="Arial" w:hAnsi="Arial" w:cs="Arial"/>
                <w:sz w:val="20"/>
              </w:rPr>
              <w:t>$50 each</w:t>
            </w:r>
          </w:p>
        </w:tc>
      </w:tr>
      <w:tr w:rsidR="00F06A81" w:rsidRPr="00934372" w:rsidTr="00F06A81">
        <w:tc>
          <w:tcPr>
            <w:tcW w:w="4675" w:type="dxa"/>
          </w:tcPr>
          <w:p w:rsidR="00F06A81" w:rsidRPr="00934372" w:rsidRDefault="00F06A81" w:rsidP="00287B1A">
            <w:pPr>
              <w:rPr>
                <w:rFonts w:ascii="Arial" w:hAnsi="Arial" w:cs="Arial"/>
                <w:sz w:val="20"/>
              </w:rPr>
            </w:pPr>
            <w:r w:rsidRPr="00934372">
              <w:rPr>
                <w:rFonts w:ascii="Arial" w:hAnsi="Arial" w:cs="Arial"/>
                <w:sz w:val="20"/>
              </w:rPr>
              <w:t>Mileage</w:t>
            </w:r>
            <w:r w:rsidR="0015363A">
              <w:rPr>
                <w:rFonts w:ascii="Arial" w:hAnsi="Arial" w:cs="Arial"/>
                <w:sz w:val="20"/>
              </w:rPr>
              <w:t xml:space="preserve"> outside a 25 mile radius of Mableton</w:t>
            </w:r>
            <w:r w:rsidR="003A7AC9">
              <w:rPr>
                <w:rFonts w:ascii="Arial" w:hAnsi="Arial" w:cs="Arial"/>
                <w:sz w:val="20"/>
              </w:rPr>
              <w:t xml:space="preserve"> (30126)</w:t>
            </w:r>
          </w:p>
        </w:tc>
        <w:tc>
          <w:tcPr>
            <w:tcW w:w="4675" w:type="dxa"/>
          </w:tcPr>
          <w:p w:rsidR="00F06A81" w:rsidRPr="00934372" w:rsidRDefault="00F06A81" w:rsidP="00287B1A">
            <w:pPr>
              <w:rPr>
                <w:rFonts w:ascii="Arial" w:hAnsi="Arial" w:cs="Arial"/>
                <w:sz w:val="20"/>
              </w:rPr>
            </w:pPr>
            <w:r w:rsidRPr="00934372">
              <w:rPr>
                <w:rFonts w:ascii="Arial" w:hAnsi="Arial" w:cs="Arial"/>
                <w:sz w:val="20"/>
              </w:rPr>
              <w:t>Based on current IRS guidelines</w:t>
            </w:r>
          </w:p>
        </w:tc>
      </w:tr>
      <w:tr w:rsidR="00F06A81" w:rsidRPr="00934372" w:rsidTr="00F06A81">
        <w:tc>
          <w:tcPr>
            <w:tcW w:w="4675" w:type="dxa"/>
          </w:tcPr>
          <w:p w:rsidR="00F06A81" w:rsidRPr="00934372" w:rsidRDefault="0065780F" w:rsidP="00287B1A">
            <w:pPr>
              <w:rPr>
                <w:rFonts w:ascii="Arial" w:hAnsi="Arial" w:cs="Arial"/>
                <w:sz w:val="20"/>
              </w:rPr>
            </w:pPr>
            <w:r w:rsidRPr="00934372">
              <w:rPr>
                <w:rFonts w:ascii="Arial" w:hAnsi="Arial" w:cs="Arial"/>
                <w:sz w:val="20"/>
              </w:rPr>
              <w:t>Post-placement Visits</w:t>
            </w:r>
          </w:p>
        </w:tc>
        <w:tc>
          <w:tcPr>
            <w:tcW w:w="4675" w:type="dxa"/>
          </w:tcPr>
          <w:p w:rsidR="00F06A81" w:rsidRPr="00934372" w:rsidRDefault="0065780F" w:rsidP="00287B1A">
            <w:pPr>
              <w:rPr>
                <w:rFonts w:ascii="Arial" w:hAnsi="Arial" w:cs="Arial"/>
                <w:sz w:val="20"/>
              </w:rPr>
            </w:pPr>
            <w:r w:rsidRPr="00934372">
              <w:rPr>
                <w:rFonts w:ascii="Arial" w:hAnsi="Arial" w:cs="Arial"/>
                <w:sz w:val="20"/>
              </w:rPr>
              <w:t>$300 per visit plus applicable mileage</w:t>
            </w:r>
          </w:p>
        </w:tc>
      </w:tr>
      <w:tr w:rsidR="00F06A81" w:rsidRPr="00934372" w:rsidTr="00F06A81">
        <w:tc>
          <w:tcPr>
            <w:tcW w:w="4675" w:type="dxa"/>
          </w:tcPr>
          <w:p w:rsidR="00F06A81" w:rsidRPr="00934372" w:rsidRDefault="0065780F" w:rsidP="00287B1A">
            <w:pPr>
              <w:rPr>
                <w:rFonts w:ascii="Arial" w:hAnsi="Arial" w:cs="Arial"/>
                <w:sz w:val="20"/>
              </w:rPr>
            </w:pPr>
            <w:r w:rsidRPr="00934372">
              <w:rPr>
                <w:rFonts w:ascii="Arial" w:hAnsi="Arial" w:cs="Arial"/>
                <w:sz w:val="20"/>
              </w:rPr>
              <w:t>Fingerprints</w:t>
            </w:r>
          </w:p>
        </w:tc>
        <w:tc>
          <w:tcPr>
            <w:tcW w:w="4675" w:type="dxa"/>
          </w:tcPr>
          <w:p w:rsidR="00F06A81" w:rsidRPr="00934372" w:rsidRDefault="0065780F" w:rsidP="00287B1A">
            <w:pPr>
              <w:rPr>
                <w:rFonts w:ascii="Arial" w:hAnsi="Arial" w:cs="Arial"/>
                <w:sz w:val="20"/>
              </w:rPr>
            </w:pPr>
            <w:r w:rsidRPr="00934372">
              <w:rPr>
                <w:rFonts w:ascii="Arial" w:hAnsi="Arial" w:cs="Arial"/>
                <w:sz w:val="20"/>
              </w:rPr>
              <w:t>GCIC/NCIC Fee</w:t>
            </w:r>
          </w:p>
        </w:tc>
      </w:tr>
    </w:tbl>
    <w:p w:rsidR="003A7AC9" w:rsidRDefault="003A7AC9" w:rsidP="00287B1A">
      <w:pPr>
        <w:rPr>
          <w:rFonts w:ascii="Arial" w:hAnsi="Arial" w:cs="Arial"/>
          <w:sz w:val="20"/>
        </w:rPr>
      </w:pPr>
    </w:p>
    <w:p w:rsidR="00B725B7" w:rsidRPr="00934372" w:rsidRDefault="00B725B7" w:rsidP="00287B1A">
      <w:pPr>
        <w:rPr>
          <w:rFonts w:ascii="Arial" w:hAnsi="Arial" w:cs="Arial"/>
          <w:sz w:val="20"/>
        </w:rPr>
      </w:pPr>
      <w:r w:rsidRPr="00934372">
        <w:rPr>
          <w:rFonts w:ascii="Arial" w:hAnsi="Arial" w:cs="Arial"/>
          <w:sz w:val="20"/>
        </w:rPr>
        <w:t>Fees are non-refundable. Fees are due in advance of the service provided except in the case of the home study. Clients are billed in advance of the service provided. Upon payment of the fee, the service will commence. Fees may be paid by check</w:t>
      </w:r>
      <w:r w:rsidR="0015363A">
        <w:rPr>
          <w:rFonts w:ascii="Arial" w:hAnsi="Arial" w:cs="Arial"/>
          <w:sz w:val="20"/>
        </w:rPr>
        <w:t xml:space="preserve">, </w:t>
      </w:r>
      <w:proofErr w:type="spellStart"/>
      <w:r w:rsidR="0015363A">
        <w:rPr>
          <w:rFonts w:ascii="Arial" w:hAnsi="Arial" w:cs="Arial"/>
          <w:sz w:val="20"/>
        </w:rPr>
        <w:t>Paypal</w:t>
      </w:r>
      <w:proofErr w:type="spellEnd"/>
      <w:r w:rsidRPr="00934372">
        <w:rPr>
          <w:rFonts w:ascii="Arial" w:hAnsi="Arial" w:cs="Arial"/>
          <w:sz w:val="20"/>
        </w:rPr>
        <w:t xml:space="preserve"> or cash. </w:t>
      </w:r>
    </w:p>
    <w:p w:rsidR="00287B1A" w:rsidRPr="00934372" w:rsidRDefault="00F06A81" w:rsidP="00287B1A">
      <w:pPr>
        <w:rPr>
          <w:rFonts w:ascii="Arial" w:hAnsi="Arial" w:cs="Arial"/>
          <w:sz w:val="20"/>
        </w:rPr>
      </w:pPr>
      <w:r w:rsidRPr="00934372">
        <w:rPr>
          <w:rFonts w:ascii="Arial" w:hAnsi="Arial" w:cs="Arial"/>
          <w:sz w:val="20"/>
        </w:rPr>
        <w:t xml:space="preserve">In order to schedule the commencement of the home study, 50% of the home study must have been paid ($750). The final 50% must be paid within two weeks of the final home study visit. </w:t>
      </w:r>
      <w:r w:rsidR="00287B1A" w:rsidRPr="00934372">
        <w:rPr>
          <w:rFonts w:ascii="Arial" w:hAnsi="Arial" w:cs="Arial"/>
          <w:sz w:val="20"/>
        </w:rPr>
        <w:t xml:space="preserve"> These fees are non-refundable.</w:t>
      </w:r>
    </w:p>
    <w:p w:rsidR="00287B1A" w:rsidRPr="00934372" w:rsidRDefault="00F06A81" w:rsidP="00287B1A">
      <w:pPr>
        <w:rPr>
          <w:rFonts w:ascii="Arial" w:hAnsi="Arial" w:cs="Arial"/>
          <w:sz w:val="20"/>
        </w:rPr>
      </w:pPr>
      <w:r w:rsidRPr="00934372">
        <w:rPr>
          <w:rFonts w:ascii="Arial" w:hAnsi="Arial" w:cs="Arial"/>
          <w:sz w:val="20"/>
        </w:rPr>
        <w:t xml:space="preserve">Mileage is charged only if the adoptive home is located outside a </w:t>
      </w:r>
      <w:r w:rsidR="0015363A">
        <w:rPr>
          <w:rFonts w:ascii="Arial" w:hAnsi="Arial" w:cs="Arial"/>
          <w:sz w:val="20"/>
        </w:rPr>
        <w:t>25</w:t>
      </w:r>
      <w:r w:rsidR="0065780F" w:rsidRPr="00934372">
        <w:rPr>
          <w:rFonts w:ascii="Arial" w:hAnsi="Arial" w:cs="Arial"/>
          <w:sz w:val="20"/>
        </w:rPr>
        <w:t>-</w:t>
      </w:r>
      <w:r w:rsidRPr="00934372">
        <w:rPr>
          <w:rFonts w:ascii="Arial" w:hAnsi="Arial" w:cs="Arial"/>
          <w:sz w:val="20"/>
        </w:rPr>
        <w:t xml:space="preserve">mile radius </w:t>
      </w:r>
      <w:r w:rsidR="0015363A">
        <w:rPr>
          <w:rFonts w:ascii="Arial" w:hAnsi="Arial" w:cs="Arial"/>
          <w:sz w:val="20"/>
        </w:rPr>
        <w:t>of Mableton (30126)</w:t>
      </w:r>
      <w:r w:rsidRPr="00934372">
        <w:rPr>
          <w:rFonts w:ascii="Arial" w:hAnsi="Arial" w:cs="Arial"/>
          <w:sz w:val="20"/>
        </w:rPr>
        <w:t xml:space="preserve">. Mileage costs if applicable must be paid with the final home study payment. </w:t>
      </w:r>
      <w:r w:rsidR="00287B1A" w:rsidRPr="00934372">
        <w:rPr>
          <w:rFonts w:ascii="Arial" w:hAnsi="Arial" w:cs="Arial"/>
          <w:sz w:val="20"/>
        </w:rPr>
        <w:t xml:space="preserve"> This cost is based upon the </w:t>
      </w:r>
      <w:r w:rsidR="003A7AC9" w:rsidRPr="00934372">
        <w:rPr>
          <w:rFonts w:ascii="Arial" w:hAnsi="Arial" w:cs="Arial"/>
          <w:sz w:val="20"/>
        </w:rPr>
        <w:t>round-trip</w:t>
      </w:r>
      <w:r w:rsidR="00287B1A" w:rsidRPr="00934372">
        <w:rPr>
          <w:rFonts w:ascii="Arial" w:hAnsi="Arial" w:cs="Arial"/>
          <w:sz w:val="20"/>
        </w:rPr>
        <w:t xml:space="preserve"> distance from the case worker’s </w:t>
      </w:r>
      <w:r w:rsidR="0015363A">
        <w:rPr>
          <w:rFonts w:ascii="Arial" w:hAnsi="Arial" w:cs="Arial"/>
          <w:sz w:val="20"/>
        </w:rPr>
        <w:t>home</w:t>
      </w:r>
      <w:r w:rsidR="00287B1A" w:rsidRPr="00934372">
        <w:rPr>
          <w:rFonts w:ascii="Arial" w:hAnsi="Arial" w:cs="Arial"/>
          <w:sz w:val="20"/>
        </w:rPr>
        <w:t xml:space="preserve"> </w:t>
      </w:r>
      <w:r w:rsidR="0065780F" w:rsidRPr="00934372">
        <w:rPr>
          <w:rFonts w:ascii="Arial" w:hAnsi="Arial" w:cs="Arial"/>
          <w:sz w:val="20"/>
        </w:rPr>
        <w:t xml:space="preserve">(less the </w:t>
      </w:r>
      <w:r w:rsidR="0015363A">
        <w:rPr>
          <w:rFonts w:ascii="Arial" w:hAnsi="Arial" w:cs="Arial"/>
          <w:sz w:val="20"/>
        </w:rPr>
        <w:t>25</w:t>
      </w:r>
      <w:r w:rsidR="0065780F" w:rsidRPr="00934372">
        <w:rPr>
          <w:rFonts w:ascii="Arial" w:hAnsi="Arial" w:cs="Arial"/>
          <w:sz w:val="20"/>
        </w:rPr>
        <w:t xml:space="preserve">-mile radius allowance) </w:t>
      </w:r>
      <w:r w:rsidR="00287B1A" w:rsidRPr="00934372">
        <w:rPr>
          <w:rFonts w:ascii="Arial" w:hAnsi="Arial" w:cs="Arial"/>
          <w:sz w:val="20"/>
        </w:rPr>
        <w:t>to the adoptive parent’s home.</w:t>
      </w:r>
    </w:p>
    <w:p w:rsidR="0065780F" w:rsidRPr="00934372" w:rsidRDefault="00287B1A" w:rsidP="00287B1A">
      <w:pPr>
        <w:rPr>
          <w:rFonts w:ascii="Arial" w:hAnsi="Arial" w:cs="Arial"/>
          <w:sz w:val="20"/>
        </w:rPr>
      </w:pPr>
      <w:r w:rsidRPr="00934372">
        <w:rPr>
          <w:rFonts w:ascii="Arial" w:hAnsi="Arial" w:cs="Arial"/>
          <w:sz w:val="20"/>
        </w:rPr>
        <w:t>Follow-up visits (post placement reports) to the adoptive parent’s home will occur in accordance with the guidelines of the country the child was adopted from, or in the case of a domestic home study report, in accordance with the rules of the states involved in the adoption. The fee for post placement reports is $</w:t>
      </w:r>
      <w:r w:rsidR="0065780F" w:rsidRPr="00934372">
        <w:rPr>
          <w:rFonts w:ascii="Arial" w:hAnsi="Arial" w:cs="Arial"/>
          <w:sz w:val="20"/>
        </w:rPr>
        <w:t>30</w:t>
      </w:r>
      <w:r w:rsidRPr="00934372">
        <w:rPr>
          <w:rFonts w:ascii="Arial" w:hAnsi="Arial" w:cs="Arial"/>
          <w:sz w:val="20"/>
        </w:rPr>
        <w:t>0 plus mileage</w:t>
      </w:r>
      <w:r w:rsidR="0065780F" w:rsidRPr="00934372">
        <w:rPr>
          <w:rFonts w:ascii="Arial" w:hAnsi="Arial" w:cs="Arial"/>
          <w:sz w:val="20"/>
        </w:rPr>
        <w:t xml:space="preserve"> outside the </w:t>
      </w:r>
      <w:r w:rsidR="0015363A">
        <w:rPr>
          <w:rFonts w:ascii="Arial" w:hAnsi="Arial" w:cs="Arial"/>
          <w:sz w:val="20"/>
        </w:rPr>
        <w:t>25</w:t>
      </w:r>
      <w:r w:rsidR="0065780F" w:rsidRPr="00934372">
        <w:rPr>
          <w:rFonts w:ascii="Arial" w:hAnsi="Arial" w:cs="Arial"/>
          <w:sz w:val="20"/>
        </w:rPr>
        <w:t>-mile radius allowance</w:t>
      </w:r>
      <w:r w:rsidRPr="00934372">
        <w:rPr>
          <w:rFonts w:ascii="Arial" w:hAnsi="Arial" w:cs="Arial"/>
          <w:sz w:val="20"/>
        </w:rPr>
        <w:t xml:space="preserve">. </w:t>
      </w:r>
    </w:p>
    <w:p w:rsidR="00287B1A" w:rsidRPr="00934372" w:rsidRDefault="00287B1A" w:rsidP="00287B1A">
      <w:pPr>
        <w:pBdr>
          <w:bottom w:val="single" w:sz="12" w:space="1" w:color="auto"/>
        </w:pBdr>
        <w:rPr>
          <w:rFonts w:ascii="Arial" w:hAnsi="Arial" w:cs="Arial"/>
          <w:sz w:val="20"/>
        </w:rPr>
      </w:pPr>
      <w:r w:rsidRPr="00934372">
        <w:rPr>
          <w:rFonts w:ascii="Arial" w:hAnsi="Arial" w:cs="Arial"/>
          <w:sz w:val="20"/>
        </w:rPr>
        <w:t xml:space="preserve">The prospective adoptive family is responsible for the fee for the required </w:t>
      </w:r>
      <w:r w:rsidR="0065780F" w:rsidRPr="00934372">
        <w:rPr>
          <w:rFonts w:ascii="Arial" w:hAnsi="Arial" w:cs="Arial"/>
          <w:sz w:val="20"/>
        </w:rPr>
        <w:t>state and national</w:t>
      </w:r>
      <w:r w:rsidRPr="00934372">
        <w:rPr>
          <w:rFonts w:ascii="Arial" w:hAnsi="Arial" w:cs="Arial"/>
          <w:sz w:val="20"/>
        </w:rPr>
        <w:t xml:space="preserve"> fingerprint reports for all occupants in the household age 18 and over. These fees are non-refundable.</w:t>
      </w:r>
    </w:p>
    <w:p w:rsidR="00B725B7" w:rsidRPr="00934372" w:rsidRDefault="00B725B7" w:rsidP="00934372">
      <w:pPr>
        <w:jc w:val="center"/>
        <w:rPr>
          <w:rFonts w:ascii="Arial" w:hAnsi="Arial" w:cs="Arial"/>
          <w:b/>
        </w:rPr>
      </w:pPr>
      <w:r w:rsidRPr="00934372">
        <w:rPr>
          <w:rFonts w:ascii="Arial" w:hAnsi="Arial" w:cs="Arial"/>
          <w:b/>
        </w:rPr>
        <w:t xml:space="preserve">Acknowledgement of Receipt of Fee </w:t>
      </w:r>
      <w:r w:rsidR="00934372" w:rsidRPr="00934372">
        <w:rPr>
          <w:rFonts w:ascii="Arial" w:hAnsi="Arial" w:cs="Arial"/>
          <w:b/>
        </w:rPr>
        <w:t>Schedule Policy</w:t>
      </w:r>
    </w:p>
    <w:p w:rsidR="00934372" w:rsidRDefault="00934372" w:rsidP="00934372">
      <w:pPr>
        <w:jc w:val="center"/>
        <w:rPr>
          <w:rFonts w:ascii="Arial" w:hAnsi="Arial" w:cs="Arial"/>
        </w:rPr>
      </w:pPr>
    </w:p>
    <w:p w:rsidR="00B725B7" w:rsidRDefault="00934372" w:rsidP="00934372">
      <w:pPr>
        <w:spacing w:after="0" w:line="240" w:lineRule="auto"/>
        <w:rPr>
          <w:rFonts w:ascii="Arial" w:hAnsi="Arial" w:cs="Arial"/>
        </w:rPr>
      </w:pPr>
      <w:r>
        <w:rPr>
          <w:rFonts w:ascii="Arial" w:hAnsi="Arial" w:cs="Arial"/>
        </w:rPr>
        <w:t>___________________________________</w:t>
      </w:r>
      <w:r>
        <w:rPr>
          <w:rFonts w:ascii="Arial" w:hAnsi="Arial" w:cs="Arial"/>
        </w:rPr>
        <w:tab/>
      </w:r>
      <w:r>
        <w:rPr>
          <w:rFonts w:ascii="Arial" w:hAnsi="Arial" w:cs="Arial"/>
        </w:rPr>
        <w:tab/>
      </w:r>
      <w:r>
        <w:rPr>
          <w:rFonts w:ascii="Arial" w:hAnsi="Arial" w:cs="Arial"/>
        </w:rPr>
        <w:tab/>
      </w:r>
      <w:r>
        <w:rPr>
          <w:rFonts w:ascii="Arial" w:hAnsi="Arial" w:cs="Arial"/>
        </w:rPr>
        <w:tab/>
        <w:t>___________________________________</w:t>
      </w:r>
    </w:p>
    <w:p w:rsidR="00B725B7" w:rsidRDefault="00B725B7" w:rsidP="00934372">
      <w:pPr>
        <w:spacing w:after="0" w:line="240" w:lineRule="auto"/>
        <w:rPr>
          <w:rFonts w:ascii="Arial" w:hAnsi="Arial" w:cs="Arial"/>
        </w:rPr>
      </w:pPr>
      <w:r>
        <w:rPr>
          <w:rFonts w:ascii="Arial" w:hAnsi="Arial" w:cs="Arial"/>
        </w:rPr>
        <w:t>Adoptive Parent</w:t>
      </w:r>
      <w:r>
        <w:rPr>
          <w:rFonts w:ascii="Arial" w:hAnsi="Arial" w:cs="Arial"/>
        </w:rPr>
        <w:tab/>
      </w:r>
      <w:r w:rsidR="00934372">
        <w:rPr>
          <w:rFonts w:ascii="Arial" w:hAnsi="Arial" w:cs="Arial"/>
        </w:rPr>
        <w:t xml:space="preserve">               </w:t>
      </w:r>
      <w:r>
        <w:rPr>
          <w:rFonts w:ascii="Arial" w:hAnsi="Arial" w:cs="Arial"/>
        </w:rPr>
        <w:t>Date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15363A">
        <w:rPr>
          <w:rFonts w:ascii="Arial" w:hAnsi="Arial" w:cs="Arial"/>
        </w:rPr>
        <w:t>Dianne Kelly</w:t>
      </w:r>
      <w:r>
        <w:rPr>
          <w:rFonts w:ascii="Arial" w:hAnsi="Arial" w:cs="Arial"/>
        </w:rPr>
        <w:t xml:space="preserve">      </w:t>
      </w:r>
      <w:r w:rsidR="003A7AC9">
        <w:rPr>
          <w:rFonts w:ascii="Arial" w:hAnsi="Arial" w:cs="Arial"/>
        </w:rPr>
        <w:tab/>
      </w:r>
      <w:r w:rsidR="003A7AC9">
        <w:rPr>
          <w:rFonts w:ascii="Arial" w:hAnsi="Arial" w:cs="Arial"/>
        </w:rPr>
        <w:tab/>
      </w:r>
      <w:r w:rsidR="003A7AC9">
        <w:rPr>
          <w:rFonts w:ascii="Arial" w:hAnsi="Arial" w:cs="Arial"/>
        </w:rPr>
        <w:tab/>
      </w:r>
      <w:r>
        <w:rPr>
          <w:rFonts w:ascii="Arial" w:hAnsi="Arial" w:cs="Arial"/>
        </w:rPr>
        <w:t>Date</w:t>
      </w:r>
    </w:p>
    <w:p w:rsidR="00934372" w:rsidRDefault="00934372" w:rsidP="00934372">
      <w:pPr>
        <w:spacing w:after="0" w:line="240" w:lineRule="auto"/>
        <w:rPr>
          <w:rFonts w:ascii="Arial" w:hAnsi="Arial" w:cs="Arial"/>
        </w:rPr>
      </w:pPr>
    </w:p>
    <w:p w:rsidR="00934372" w:rsidRDefault="00934372" w:rsidP="00934372">
      <w:pPr>
        <w:spacing w:after="0" w:line="240" w:lineRule="auto"/>
        <w:rPr>
          <w:rFonts w:ascii="Arial" w:hAnsi="Arial" w:cs="Arial"/>
        </w:rPr>
      </w:pPr>
    </w:p>
    <w:p w:rsidR="00934372" w:rsidRDefault="00934372" w:rsidP="00934372">
      <w:pPr>
        <w:spacing w:after="0" w:line="240" w:lineRule="auto"/>
        <w:rPr>
          <w:rFonts w:ascii="Arial" w:hAnsi="Arial" w:cs="Arial"/>
        </w:rPr>
      </w:pPr>
    </w:p>
    <w:p w:rsidR="00B725B7" w:rsidRDefault="00934372" w:rsidP="00934372">
      <w:pPr>
        <w:spacing w:after="0" w:line="240" w:lineRule="auto"/>
        <w:rPr>
          <w:rFonts w:ascii="Arial" w:hAnsi="Arial" w:cs="Arial"/>
        </w:rPr>
      </w:pPr>
      <w:r>
        <w:rPr>
          <w:rFonts w:ascii="Arial" w:hAnsi="Arial" w:cs="Arial"/>
        </w:rPr>
        <w:t>__________________________________</w:t>
      </w:r>
    </w:p>
    <w:p w:rsidR="00B725B7" w:rsidRPr="00287B1A" w:rsidRDefault="00B725B7" w:rsidP="00934372">
      <w:pPr>
        <w:spacing w:after="0" w:line="240" w:lineRule="auto"/>
        <w:rPr>
          <w:rFonts w:ascii="Arial" w:hAnsi="Arial" w:cs="Arial"/>
        </w:rPr>
      </w:pPr>
      <w:r>
        <w:rPr>
          <w:rFonts w:ascii="Arial" w:hAnsi="Arial" w:cs="Arial"/>
        </w:rPr>
        <w:t>Adoptive Parent</w:t>
      </w:r>
      <w:r>
        <w:rPr>
          <w:rFonts w:ascii="Arial" w:hAnsi="Arial" w:cs="Arial"/>
        </w:rPr>
        <w:tab/>
      </w:r>
      <w:r w:rsidR="00934372">
        <w:rPr>
          <w:rFonts w:ascii="Arial" w:hAnsi="Arial" w:cs="Arial"/>
        </w:rPr>
        <w:t xml:space="preserve">                </w:t>
      </w:r>
      <w:r>
        <w:rPr>
          <w:rFonts w:ascii="Arial" w:hAnsi="Arial" w:cs="Arial"/>
        </w:rPr>
        <w:t>Date</w:t>
      </w:r>
    </w:p>
    <w:sectPr w:rsidR="00B725B7" w:rsidRPr="00287B1A" w:rsidSect="00B725B7">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6685" w:rsidRDefault="00B46685" w:rsidP="0015363A">
      <w:pPr>
        <w:spacing w:after="0" w:line="240" w:lineRule="auto"/>
      </w:pPr>
      <w:r>
        <w:separator/>
      </w:r>
    </w:p>
  </w:endnote>
  <w:endnote w:type="continuationSeparator" w:id="0">
    <w:p w:rsidR="00B46685" w:rsidRDefault="00B46685" w:rsidP="00153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63A" w:rsidRDefault="0015363A">
    <w:pPr>
      <w:pStyle w:val="Footer"/>
    </w:pPr>
    <w:hyperlink r:id="rId1" w:history="1">
      <w:r w:rsidRPr="00F2526D">
        <w:rPr>
          <w:rStyle w:val="Hyperlink"/>
        </w:rPr>
        <w:t>diannekelly@touchstonepracticegroup.com</w:t>
      </w:r>
    </w:hyperlink>
    <w:r>
      <w:t xml:space="preserve"> </w:t>
    </w:r>
    <w:r>
      <w:tab/>
    </w:r>
    <w:r>
      <w:tab/>
      <w:t>404-822-8867</w:t>
    </w:r>
  </w:p>
  <w:tbl>
    <w:tblPr>
      <w:tblW w:w="5000" w:type="pct"/>
      <w:jc w:val="right"/>
      <w:tblLayout w:type="fixed"/>
      <w:tblCellMar>
        <w:left w:w="0" w:type="dxa"/>
        <w:right w:w="0" w:type="dxa"/>
      </w:tblCellMar>
      <w:tblLook w:val="04A0" w:firstRow="1" w:lastRow="0" w:firstColumn="1" w:lastColumn="0" w:noHBand="0" w:noVBand="1"/>
    </w:tblPr>
    <w:tblGrid>
      <w:gridCol w:w="10443"/>
      <w:gridCol w:w="357"/>
    </w:tblGrid>
    <w:tr w:rsidR="0015363A" w:rsidTr="0015363A">
      <w:trPr>
        <w:jc w:val="right"/>
      </w:trPr>
      <w:tc>
        <w:tcPr>
          <w:tcW w:w="10443" w:type="dxa"/>
          <w:tcBorders>
            <w:bottom w:val="single" w:sz="36" w:space="0" w:color="auto"/>
          </w:tcBorders>
        </w:tcPr>
        <w:p w:rsidR="0015363A" w:rsidRDefault="0015363A" w:rsidP="0015363A">
          <w:pPr>
            <w:pStyle w:val="Footer"/>
          </w:pPr>
        </w:p>
      </w:tc>
      <w:tc>
        <w:tcPr>
          <w:tcW w:w="357" w:type="dxa"/>
        </w:tcPr>
        <w:p w:rsidR="0015363A" w:rsidRDefault="0015363A" w:rsidP="0015363A">
          <w:pPr>
            <w:pStyle w:val="Footer"/>
          </w:pPr>
        </w:p>
      </w:tc>
    </w:tr>
  </w:tbl>
  <w:p w:rsidR="0015363A" w:rsidRDefault="0015363A">
    <w:pPr>
      <w:pStyle w:val="Footer"/>
    </w:pPr>
  </w:p>
  <w:p w:rsidR="0015363A" w:rsidRDefault="001536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6685" w:rsidRDefault="00B46685" w:rsidP="0015363A">
      <w:pPr>
        <w:spacing w:after="0" w:line="240" w:lineRule="auto"/>
      </w:pPr>
      <w:r>
        <w:separator/>
      </w:r>
    </w:p>
  </w:footnote>
  <w:footnote w:type="continuationSeparator" w:id="0">
    <w:p w:rsidR="00B46685" w:rsidRDefault="00B46685" w:rsidP="0015363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B1A"/>
    <w:rsid w:val="0015363A"/>
    <w:rsid w:val="001A0D9B"/>
    <w:rsid w:val="001C7EDA"/>
    <w:rsid w:val="00287B1A"/>
    <w:rsid w:val="00295035"/>
    <w:rsid w:val="003A7AC9"/>
    <w:rsid w:val="00424DA5"/>
    <w:rsid w:val="004C4470"/>
    <w:rsid w:val="0065780F"/>
    <w:rsid w:val="00934372"/>
    <w:rsid w:val="00B46685"/>
    <w:rsid w:val="00B725B7"/>
    <w:rsid w:val="00DF6776"/>
    <w:rsid w:val="00F06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217990"/>
  <w15:chartTrackingRefBased/>
  <w15:docId w15:val="{70C144CA-8376-486F-B5B1-DCC40FF31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6A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24D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4DA5"/>
    <w:rPr>
      <w:rFonts w:ascii="Segoe UI" w:hAnsi="Segoe UI" w:cs="Segoe UI"/>
      <w:sz w:val="18"/>
      <w:szCs w:val="18"/>
    </w:rPr>
  </w:style>
  <w:style w:type="paragraph" w:styleId="Header">
    <w:name w:val="header"/>
    <w:basedOn w:val="Normal"/>
    <w:link w:val="HeaderChar"/>
    <w:uiPriority w:val="99"/>
    <w:unhideWhenUsed/>
    <w:rsid w:val="001536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363A"/>
  </w:style>
  <w:style w:type="paragraph" w:styleId="Footer">
    <w:name w:val="footer"/>
    <w:basedOn w:val="Normal"/>
    <w:link w:val="FooterChar"/>
    <w:uiPriority w:val="99"/>
    <w:unhideWhenUsed/>
    <w:qFormat/>
    <w:rsid w:val="001536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363A"/>
  </w:style>
  <w:style w:type="paragraph" w:customStyle="1" w:styleId="Organization">
    <w:name w:val="Organization"/>
    <w:basedOn w:val="Normal"/>
    <w:uiPriority w:val="10"/>
    <w:qFormat/>
    <w:rsid w:val="0015363A"/>
    <w:pPr>
      <w:spacing w:after="60" w:line="240" w:lineRule="auto"/>
      <w:ind w:left="29" w:right="29"/>
    </w:pPr>
    <w:rPr>
      <w:rFonts w:eastAsiaTheme="minorEastAsia"/>
      <w:b/>
      <w:color w:val="5B9BD5" w:themeColor="accent1"/>
      <w:sz w:val="36"/>
      <w:szCs w:val="20"/>
      <w:lang w:val="en-GB"/>
    </w:rPr>
  </w:style>
  <w:style w:type="character" w:styleId="Strong">
    <w:name w:val="Strong"/>
    <w:basedOn w:val="DefaultParagraphFont"/>
    <w:uiPriority w:val="22"/>
    <w:qFormat/>
    <w:rsid w:val="0015363A"/>
    <w:rPr>
      <w:b/>
      <w:bCs/>
    </w:rPr>
  </w:style>
  <w:style w:type="character" w:styleId="Hyperlink">
    <w:name w:val="Hyperlink"/>
    <w:basedOn w:val="DefaultParagraphFont"/>
    <w:uiPriority w:val="99"/>
    <w:unhideWhenUsed/>
    <w:rsid w:val="0015363A"/>
    <w:rPr>
      <w:color w:val="0563C1" w:themeColor="hyperlink"/>
      <w:u w:val="single"/>
    </w:rPr>
  </w:style>
  <w:style w:type="character" w:styleId="Mention">
    <w:name w:val="Mention"/>
    <w:basedOn w:val="DefaultParagraphFont"/>
    <w:uiPriority w:val="99"/>
    <w:semiHidden/>
    <w:unhideWhenUsed/>
    <w:rsid w:val="0015363A"/>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iannekelly@touchstonepracticegroup.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diannekelly@touchstonepracticegrou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348</Words>
  <Characters>1987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Kelly</dc:creator>
  <cp:keywords/>
  <dc:description/>
  <cp:lastModifiedBy>Dianne Kelly</cp:lastModifiedBy>
  <cp:revision>3</cp:revision>
  <cp:lastPrinted>2017-01-09T22:29:00Z</cp:lastPrinted>
  <dcterms:created xsi:type="dcterms:W3CDTF">2017-04-11T18:05:00Z</dcterms:created>
  <dcterms:modified xsi:type="dcterms:W3CDTF">2017-04-11T18:08:00Z</dcterms:modified>
</cp:coreProperties>
</file>