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A0" w:rsidRDefault="007D72A3" w:rsidP="007D72A3">
      <w:pPr>
        <w:jc w:val="center"/>
        <w:rPr>
          <w:b/>
          <w:sz w:val="28"/>
          <w:szCs w:val="28"/>
          <w:u w:val="single"/>
        </w:rPr>
      </w:pPr>
      <w:r w:rsidRPr="007D72A3">
        <w:rPr>
          <w:b/>
          <w:sz w:val="28"/>
          <w:szCs w:val="28"/>
          <w:u w:val="single"/>
        </w:rPr>
        <w:t xml:space="preserve">Unico Return Policy </w:t>
      </w:r>
    </w:p>
    <w:p w:rsidR="007D72A3" w:rsidRDefault="007D72A3" w:rsidP="007D72A3">
      <w:pPr>
        <w:jc w:val="center"/>
        <w:rPr>
          <w:b/>
          <w:sz w:val="28"/>
          <w:szCs w:val="28"/>
          <w:u w:val="single"/>
        </w:rPr>
      </w:pPr>
    </w:p>
    <w:p w:rsidR="007D72A3" w:rsidRDefault="007D72A3" w:rsidP="007D72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eastAsiaTheme="minorEastAsia" w:hAnsi="Calibri" w:cstheme="minorBidi"/>
          <w:color w:val="000000" w:themeColor="text1"/>
          <w:kern w:val="24"/>
          <w:szCs w:val="36"/>
        </w:rPr>
      </w:pPr>
      <w:r w:rsidRPr="007D72A3"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All Distributors have 60 calendar days from the date the order was </w:t>
      </w:r>
      <w:r w:rsidR="00763704">
        <w:rPr>
          <w:rFonts w:ascii="Calibri" w:eastAsiaTheme="minorEastAsia" w:hAnsi="Calibri" w:cstheme="minorBidi"/>
          <w:color w:val="000000" w:themeColor="text1"/>
          <w:kern w:val="24"/>
          <w:szCs w:val="36"/>
        </w:rPr>
        <w:t>shipped</w:t>
      </w:r>
      <w:r w:rsidRPr="007D72A3"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 to return for full equipment credit to be used towards future purchases. Credit will expire after 180 days. NO CHECKS WILL BE ISSUED.</w:t>
      </w:r>
    </w:p>
    <w:p w:rsidR="007D72A3" w:rsidRDefault="007D72A3" w:rsidP="007D72A3">
      <w:pPr>
        <w:pStyle w:val="NormalWeb"/>
        <w:spacing w:before="0" w:beforeAutospacing="0" w:after="0" w:afterAutospacing="0"/>
        <w:ind w:left="720"/>
        <w:rPr>
          <w:rFonts w:ascii="Calibri" w:eastAsiaTheme="minorEastAsia" w:hAnsi="Calibri" w:cstheme="minorBidi"/>
          <w:color w:val="000000" w:themeColor="text1"/>
          <w:kern w:val="24"/>
          <w:szCs w:val="36"/>
        </w:rPr>
      </w:pPr>
    </w:p>
    <w:p w:rsidR="007D72A3" w:rsidRDefault="007D72A3" w:rsidP="007D72A3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 w:themeColor="text1"/>
          <w:kern w:val="24"/>
          <w:szCs w:val="36"/>
        </w:rPr>
      </w:pPr>
    </w:p>
    <w:p w:rsidR="007D72A3" w:rsidRDefault="007D72A3" w:rsidP="007D72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eastAsiaTheme="minorEastAsia" w:hAnsi="Calibri" w:cstheme="minorBidi"/>
          <w:color w:val="000000" w:themeColor="text1"/>
          <w:kern w:val="24"/>
          <w:szCs w:val="36"/>
        </w:rPr>
      </w:pPr>
      <w:r>
        <w:rPr>
          <w:rFonts w:ascii="Calibri" w:eastAsiaTheme="minorEastAsia" w:hAnsi="Calibri" w:cstheme="minorBidi"/>
          <w:color w:val="000000" w:themeColor="text1"/>
          <w:kern w:val="24"/>
          <w:szCs w:val="36"/>
        </w:rPr>
        <w:t>All returns $10,000</w:t>
      </w:r>
      <w:r w:rsidR="00763704"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 (net)</w:t>
      </w:r>
      <w:r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 or more will require a return order </w:t>
      </w:r>
      <w:r w:rsidR="00763704"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that is </w:t>
      </w:r>
      <w:r>
        <w:rPr>
          <w:rFonts w:ascii="Calibri" w:eastAsiaTheme="minorEastAsia" w:hAnsi="Calibri" w:cstheme="minorBidi"/>
          <w:color w:val="000000" w:themeColor="text1"/>
          <w:kern w:val="24"/>
          <w:szCs w:val="36"/>
        </w:rPr>
        <w:t>25% greater than the value of the return.</w:t>
      </w:r>
    </w:p>
    <w:p w:rsidR="007D72A3" w:rsidRPr="007D72A3" w:rsidRDefault="007D72A3" w:rsidP="007D72A3">
      <w:pPr>
        <w:pStyle w:val="NormalWeb"/>
        <w:spacing w:before="0" w:beforeAutospacing="0" w:after="0" w:afterAutospacing="0"/>
        <w:ind w:left="720"/>
        <w:rPr>
          <w:rFonts w:ascii="Calibri" w:eastAsiaTheme="minorEastAsia" w:hAnsi="Calibri" w:cstheme="minorBidi"/>
          <w:color w:val="000000" w:themeColor="text1"/>
          <w:kern w:val="24"/>
          <w:szCs w:val="36"/>
        </w:rPr>
      </w:pPr>
    </w:p>
    <w:p w:rsidR="007D72A3" w:rsidRPr="007D72A3" w:rsidRDefault="007D72A3" w:rsidP="007D72A3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7D72A3" w:rsidRPr="007D72A3" w:rsidRDefault="007D72A3" w:rsidP="007D72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eastAsiaTheme="minorEastAsia" w:hAnsi="Calibri" w:cstheme="minorBidi"/>
          <w:color w:val="000000" w:themeColor="text1"/>
          <w:kern w:val="24"/>
          <w:szCs w:val="36"/>
        </w:rPr>
      </w:pPr>
      <w:r w:rsidRPr="007D72A3"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Day 61-180 product can be returned </w:t>
      </w:r>
      <w:r w:rsidR="00763704">
        <w:rPr>
          <w:rFonts w:ascii="Calibri" w:eastAsiaTheme="minorEastAsia" w:hAnsi="Calibri" w:cstheme="minorBidi"/>
          <w:color w:val="000000" w:themeColor="text1"/>
          <w:kern w:val="24"/>
          <w:szCs w:val="36"/>
        </w:rPr>
        <w:t xml:space="preserve">for a credit </w:t>
      </w:r>
      <w:r w:rsidRPr="007D72A3">
        <w:rPr>
          <w:rFonts w:ascii="Calibri" w:eastAsiaTheme="minorEastAsia" w:hAnsi="Calibri" w:cstheme="minorBidi"/>
          <w:color w:val="000000" w:themeColor="text1"/>
          <w:kern w:val="24"/>
          <w:szCs w:val="36"/>
        </w:rPr>
        <w:t>with a 25% restocking fee incurred.</w:t>
      </w:r>
    </w:p>
    <w:p w:rsidR="007D72A3" w:rsidRPr="007D72A3" w:rsidRDefault="007D72A3" w:rsidP="007D72A3">
      <w:pPr>
        <w:pStyle w:val="ListParagraph"/>
        <w:rPr>
          <w:rFonts w:ascii="Calibri" w:eastAsiaTheme="minorEastAsia" w:hAnsi="Calibri"/>
          <w:color w:val="000000" w:themeColor="text1"/>
          <w:kern w:val="24"/>
          <w:sz w:val="24"/>
          <w:szCs w:val="36"/>
        </w:rPr>
      </w:pPr>
    </w:p>
    <w:p w:rsidR="007D72A3" w:rsidRDefault="007D72A3" w:rsidP="009A60A5">
      <w:pPr>
        <w:pStyle w:val="NormalWeb"/>
        <w:numPr>
          <w:ilvl w:val="0"/>
          <w:numId w:val="1"/>
        </w:numPr>
        <w:rPr>
          <w:rFonts w:ascii="Calibri" w:eastAsiaTheme="minorEastAsia" w:hAnsi="Calibri"/>
          <w:color w:val="000000" w:themeColor="text1"/>
          <w:kern w:val="24"/>
          <w:szCs w:val="36"/>
        </w:rPr>
      </w:pPr>
      <w:r w:rsidRPr="008C2BBB">
        <w:rPr>
          <w:rFonts w:ascii="Calibri" w:eastAsiaTheme="minorEastAsia" w:hAnsi="Calibri"/>
          <w:color w:val="000000" w:themeColor="text1"/>
          <w:kern w:val="24"/>
          <w:szCs w:val="36"/>
        </w:rPr>
        <w:t>No returns are allowed after 180 days from th</w:t>
      </w:r>
      <w:r w:rsidR="008C2BBB">
        <w:rPr>
          <w:rFonts w:ascii="Calibri" w:eastAsiaTheme="minorEastAsia" w:hAnsi="Calibri"/>
          <w:color w:val="000000" w:themeColor="text1"/>
          <w:kern w:val="24"/>
          <w:szCs w:val="36"/>
        </w:rPr>
        <w:t xml:space="preserve">e date the product was </w:t>
      </w:r>
      <w:r w:rsidR="00763704">
        <w:rPr>
          <w:rFonts w:ascii="Calibri" w:eastAsiaTheme="minorEastAsia" w:hAnsi="Calibri"/>
          <w:color w:val="000000" w:themeColor="text1"/>
          <w:kern w:val="24"/>
          <w:szCs w:val="36"/>
        </w:rPr>
        <w:t>shipped</w:t>
      </w:r>
      <w:r w:rsidR="008C2BBB">
        <w:rPr>
          <w:rFonts w:ascii="Calibri" w:eastAsiaTheme="minorEastAsia" w:hAnsi="Calibri"/>
          <w:color w:val="000000" w:themeColor="text1"/>
          <w:kern w:val="24"/>
          <w:szCs w:val="36"/>
        </w:rPr>
        <w:t>.</w:t>
      </w:r>
    </w:p>
    <w:p w:rsidR="008C2BBB" w:rsidRPr="008C2BBB" w:rsidRDefault="008C2BBB" w:rsidP="008C2BBB">
      <w:pPr>
        <w:pStyle w:val="NormalWeb"/>
        <w:rPr>
          <w:rFonts w:ascii="Calibri" w:eastAsiaTheme="minorEastAsia" w:hAnsi="Calibri"/>
          <w:color w:val="000000" w:themeColor="text1"/>
          <w:kern w:val="24"/>
          <w:szCs w:val="36"/>
        </w:rPr>
      </w:pPr>
    </w:p>
    <w:p w:rsidR="007D72A3" w:rsidRPr="007D72A3" w:rsidRDefault="007D72A3" w:rsidP="007D72A3">
      <w:pPr>
        <w:pStyle w:val="NormalWeb"/>
        <w:numPr>
          <w:ilvl w:val="0"/>
          <w:numId w:val="1"/>
        </w:numPr>
        <w:rPr>
          <w:rFonts w:ascii="Calibri" w:eastAsiaTheme="minorEastAsia" w:hAnsi="Calibri"/>
          <w:color w:val="000000" w:themeColor="text1"/>
          <w:kern w:val="24"/>
          <w:szCs w:val="36"/>
        </w:rPr>
      </w:pP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>Customer is responsible for all freight charges to return product to Unico.</w:t>
      </w:r>
    </w:p>
    <w:p w:rsidR="007D72A3" w:rsidRPr="007D72A3" w:rsidRDefault="007D72A3" w:rsidP="007D72A3">
      <w:pPr>
        <w:pStyle w:val="ListParagraph"/>
        <w:rPr>
          <w:rFonts w:ascii="Calibri" w:eastAsiaTheme="minorEastAsia" w:hAnsi="Calibri"/>
          <w:color w:val="000000" w:themeColor="text1"/>
          <w:kern w:val="24"/>
          <w:sz w:val="24"/>
          <w:szCs w:val="36"/>
        </w:rPr>
      </w:pPr>
    </w:p>
    <w:p w:rsidR="007D72A3" w:rsidRPr="007D72A3" w:rsidRDefault="007D72A3" w:rsidP="007D72A3">
      <w:pPr>
        <w:pStyle w:val="NormalWeb"/>
        <w:numPr>
          <w:ilvl w:val="0"/>
          <w:numId w:val="1"/>
        </w:numPr>
        <w:rPr>
          <w:rFonts w:ascii="Calibri" w:eastAsiaTheme="minorEastAsia" w:hAnsi="Calibri"/>
          <w:color w:val="000000" w:themeColor="text1"/>
          <w:kern w:val="24"/>
          <w:szCs w:val="36"/>
        </w:rPr>
      </w:pP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>Product must be shipped back as stated on the RMA.</w:t>
      </w:r>
    </w:p>
    <w:p w:rsidR="007D72A3" w:rsidRPr="007D72A3" w:rsidRDefault="007D72A3" w:rsidP="007D72A3">
      <w:pPr>
        <w:pStyle w:val="NormalWeb"/>
        <w:rPr>
          <w:rFonts w:ascii="Calibri" w:eastAsiaTheme="minorEastAsia" w:hAnsi="Calibri"/>
          <w:color w:val="000000" w:themeColor="text1"/>
          <w:kern w:val="24"/>
          <w:szCs w:val="36"/>
        </w:rPr>
      </w:pPr>
    </w:p>
    <w:p w:rsidR="007D72A3" w:rsidRPr="007D72A3" w:rsidRDefault="007D72A3" w:rsidP="007D72A3">
      <w:pPr>
        <w:pStyle w:val="NormalWeb"/>
        <w:numPr>
          <w:ilvl w:val="0"/>
          <w:numId w:val="1"/>
        </w:numPr>
        <w:rPr>
          <w:rFonts w:ascii="Calibri" w:eastAsiaTheme="minorEastAsia" w:hAnsi="Calibri"/>
          <w:color w:val="000000" w:themeColor="text1"/>
          <w:kern w:val="24"/>
          <w:szCs w:val="36"/>
        </w:rPr>
      </w:pP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>Customer is responsible for any freight damage on the return</w:t>
      </w:r>
      <w:r w:rsidR="00763704">
        <w:rPr>
          <w:rFonts w:ascii="Calibri" w:eastAsiaTheme="minorEastAsia" w:hAnsi="Calibri"/>
          <w:color w:val="000000" w:themeColor="text1"/>
          <w:kern w:val="24"/>
          <w:szCs w:val="36"/>
        </w:rPr>
        <w:t>ed product.</w:t>
      </w: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 xml:space="preserve"> </w:t>
      </w:r>
      <w:r w:rsidR="00763704">
        <w:rPr>
          <w:rFonts w:ascii="Calibri" w:eastAsiaTheme="minorEastAsia" w:hAnsi="Calibri"/>
          <w:color w:val="000000" w:themeColor="text1"/>
          <w:kern w:val="24"/>
          <w:szCs w:val="36"/>
        </w:rPr>
        <w:t>The customer</w:t>
      </w: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 xml:space="preserve"> must contact the carrier for credit. (Unico is responsible for signing as such)</w:t>
      </w:r>
    </w:p>
    <w:p w:rsidR="007D72A3" w:rsidRPr="007D72A3" w:rsidRDefault="007D72A3" w:rsidP="007D72A3">
      <w:pPr>
        <w:pStyle w:val="NormalWeb"/>
        <w:ind w:left="720"/>
        <w:rPr>
          <w:rFonts w:ascii="Calibri" w:eastAsiaTheme="minorEastAsia" w:hAnsi="Calibri"/>
          <w:color w:val="000000" w:themeColor="text1"/>
          <w:kern w:val="24"/>
          <w:szCs w:val="36"/>
        </w:rPr>
      </w:pPr>
    </w:p>
    <w:p w:rsidR="007D72A3" w:rsidRPr="007D72A3" w:rsidRDefault="007D72A3" w:rsidP="007D72A3">
      <w:pPr>
        <w:pStyle w:val="NormalWeb"/>
        <w:numPr>
          <w:ilvl w:val="0"/>
          <w:numId w:val="1"/>
        </w:numPr>
        <w:rPr>
          <w:rFonts w:ascii="Calibri" w:eastAsiaTheme="minorEastAsia" w:hAnsi="Calibri"/>
          <w:color w:val="000000" w:themeColor="text1"/>
          <w:kern w:val="24"/>
          <w:szCs w:val="36"/>
        </w:rPr>
      </w:pP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>Customer must obtain an RMA prior to return</w:t>
      </w:r>
      <w:r w:rsidR="00763704">
        <w:rPr>
          <w:rFonts w:ascii="Calibri" w:eastAsiaTheme="minorEastAsia" w:hAnsi="Calibri"/>
          <w:color w:val="000000" w:themeColor="text1"/>
          <w:kern w:val="24"/>
          <w:szCs w:val="36"/>
        </w:rPr>
        <w:t>ing product</w:t>
      </w:r>
      <w:r w:rsidRPr="007D72A3">
        <w:rPr>
          <w:rFonts w:ascii="Calibri" w:eastAsiaTheme="minorEastAsia" w:hAnsi="Calibri"/>
          <w:color w:val="000000" w:themeColor="text1"/>
          <w:kern w:val="24"/>
          <w:szCs w:val="36"/>
        </w:rPr>
        <w:t xml:space="preserve"> or no credit will be issued.</w:t>
      </w:r>
    </w:p>
    <w:p w:rsidR="007D72A3" w:rsidRPr="007D72A3" w:rsidRDefault="007D72A3" w:rsidP="007D72A3">
      <w:pPr>
        <w:pStyle w:val="NormalWeb"/>
        <w:ind w:left="720"/>
        <w:rPr>
          <w:rFonts w:ascii="Calibri" w:eastAsiaTheme="minorEastAsia" w:hAnsi="Calibri"/>
          <w:color w:val="000000" w:themeColor="text1"/>
          <w:kern w:val="24"/>
          <w:szCs w:val="36"/>
        </w:rPr>
      </w:pPr>
    </w:p>
    <w:p w:rsidR="007D72A3" w:rsidRPr="007D72A3" w:rsidRDefault="008C2BBB" w:rsidP="007D72A3">
      <w:pPr>
        <w:pStyle w:val="NormalWeb"/>
        <w:numPr>
          <w:ilvl w:val="0"/>
          <w:numId w:val="1"/>
        </w:numPr>
        <w:rPr>
          <w:rFonts w:ascii="Calibri" w:eastAsiaTheme="minorEastAsia" w:hAnsi="Calibri"/>
          <w:color w:val="000000" w:themeColor="text1"/>
          <w:kern w:val="24"/>
          <w:szCs w:val="36"/>
        </w:rPr>
      </w:pPr>
      <w:r>
        <w:rPr>
          <w:rFonts w:ascii="Calibri" w:eastAsiaTheme="minorEastAsia" w:hAnsi="Calibri"/>
          <w:color w:val="000000" w:themeColor="text1"/>
          <w:kern w:val="24"/>
          <w:szCs w:val="36"/>
        </w:rPr>
        <w:t xml:space="preserve">Customer must return </w:t>
      </w:r>
      <w:r w:rsidR="00763704">
        <w:rPr>
          <w:rFonts w:ascii="Calibri" w:eastAsiaTheme="minorEastAsia" w:hAnsi="Calibri"/>
          <w:color w:val="000000" w:themeColor="text1"/>
          <w:kern w:val="24"/>
          <w:szCs w:val="36"/>
        </w:rPr>
        <w:t xml:space="preserve">product </w:t>
      </w:r>
      <w:bookmarkStart w:id="0" w:name="_GoBack"/>
      <w:bookmarkEnd w:id="0"/>
      <w:r>
        <w:rPr>
          <w:rFonts w:ascii="Calibri" w:eastAsiaTheme="minorEastAsia" w:hAnsi="Calibri"/>
          <w:color w:val="000000" w:themeColor="text1"/>
          <w:kern w:val="24"/>
          <w:szCs w:val="36"/>
        </w:rPr>
        <w:t>within 6</w:t>
      </w:r>
      <w:r w:rsidR="007D72A3" w:rsidRPr="007D72A3">
        <w:rPr>
          <w:rFonts w:ascii="Calibri" w:eastAsiaTheme="minorEastAsia" w:hAnsi="Calibri"/>
          <w:color w:val="000000" w:themeColor="text1"/>
          <w:kern w:val="24"/>
          <w:szCs w:val="36"/>
        </w:rPr>
        <w:t>0 calendar days of the RMA being issued.</w:t>
      </w:r>
    </w:p>
    <w:p w:rsidR="007D72A3" w:rsidRPr="007D72A3" w:rsidRDefault="007D72A3" w:rsidP="007D72A3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Lucida Sans Unicode" w:cstheme="minorBidi"/>
          <w:color w:val="000000" w:themeColor="text1"/>
          <w:kern w:val="24"/>
          <w:sz w:val="36"/>
          <w:szCs w:val="36"/>
        </w:rPr>
      </w:pPr>
    </w:p>
    <w:p w:rsidR="007D72A3" w:rsidRPr="007D72A3" w:rsidRDefault="007D72A3" w:rsidP="007D72A3">
      <w:pPr>
        <w:rPr>
          <w:b/>
          <w:sz w:val="28"/>
          <w:szCs w:val="28"/>
          <w:u w:val="single"/>
        </w:rPr>
      </w:pPr>
    </w:p>
    <w:sectPr w:rsidR="007D72A3" w:rsidRPr="007D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16C8"/>
    <w:multiLevelType w:val="hybridMultilevel"/>
    <w:tmpl w:val="42B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3"/>
    <w:rsid w:val="00763704"/>
    <w:rsid w:val="007D72A3"/>
    <w:rsid w:val="008C2BBB"/>
    <w:rsid w:val="00B4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69A86-18D4-4DDE-86E5-349A871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Unico, Inc.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Intagliata</dc:creator>
  <cp:keywords/>
  <dc:description/>
  <cp:lastModifiedBy>Brian Intagliata</cp:lastModifiedBy>
  <cp:revision>3</cp:revision>
  <cp:lastPrinted>2017-02-10T14:58:00Z</cp:lastPrinted>
  <dcterms:created xsi:type="dcterms:W3CDTF">2017-02-10T14:45:00Z</dcterms:created>
  <dcterms:modified xsi:type="dcterms:W3CDTF">2017-02-10T17:32:00Z</dcterms:modified>
</cp:coreProperties>
</file>